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664"/>
        <w:gridCol w:w="1015"/>
        <w:gridCol w:w="855"/>
        <w:gridCol w:w="823"/>
        <w:gridCol w:w="533"/>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exac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534" w:type="dxa"/>
            <w:gridSpan w:val="3"/>
            <w:vAlign w:val="center"/>
          </w:tcPr>
          <w:p>
            <w:pPr>
              <w:spacing w:line="320" w:lineRule="exact"/>
              <w:rPr>
                <w:rFonts w:ascii="华文中宋" w:hAnsi="华文中宋" w:eastAsia="华文中宋"/>
                <w:sz w:val="28"/>
              </w:rPr>
            </w:pPr>
            <w:r>
              <w:rPr>
                <w:rFonts w:hint="eastAsia" w:ascii="仿宋" w:hAnsi="仿宋" w:eastAsia="仿宋" w:cs="仿宋"/>
                <w:color w:val="000000"/>
                <w:sz w:val="24"/>
                <w:szCs w:val="24"/>
              </w:rPr>
              <w:t>“像魏巧这样的同志到农村去，很好！”</w:t>
            </w: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84" w:type="dxa"/>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典型报道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trPr>
        <w:tc>
          <w:tcPr>
            <w:tcW w:w="1450"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rPr>
              <w:t>字数/时长</w:t>
            </w:r>
          </w:p>
        </w:tc>
        <w:tc>
          <w:tcPr>
            <w:tcW w:w="3534" w:type="dxa"/>
            <w:gridSpan w:val="3"/>
            <w:vMerge w:val="restart"/>
            <w:vAlign w:val="center"/>
          </w:tcPr>
          <w:p>
            <w:pPr>
              <w:spacing w:line="320" w:lineRule="exact"/>
              <w:jc w:val="center"/>
              <w:rPr>
                <w:rFonts w:ascii="华文中宋" w:hAnsi="华文中宋" w:eastAsia="华文中宋"/>
                <w:color w:val="000000"/>
                <w:sz w:val="28"/>
              </w:rPr>
            </w:pPr>
            <w:r>
              <w:rPr>
                <w:rFonts w:hint="eastAsia" w:ascii="仿宋" w:hAnsi="仿宋" w:eastAsia="仿宋" w:cs="仿宋"/>
                <w:color w:val="000000"/>
                <w:sz w:val="24"/>
                <w:szCs w:val="24"/>
              </w:rPr>
              <w:t>3577字</w:t>
            </w:r>
          </w:p>
        </w:tc>
        <w:tc>
          <w:tcPr>
            <w:tcW w:w="1356" w:type="dxa"/>
            <w:gridSpan w:val="2"/>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84" w:type="dxa"/>
            <w:vAlign w:val="center"/>
          </w:tcPr>
          <w:p>
            <w:pPr>
              <w:spacing w:line="32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rPr>
              <w:t>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450" w:type="dxa"/>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3534" w:type="dxa"/>
            <w:gridSpan w:val="3"/>
            <w:vMerge w:val="continue"/>
            <w:tcBorders>
              <w:bottom w:val="single" w:color="auto" w:sz="4" w:space="0"/>
            </w:tcBorders>
            <w:vAlign w:val="center"/>
          </w:tcPr>
          <w:p>
            <w:pPr>
              <w:spacing w:line="380" w:lineRule="exact"/>
              <w:ind w:firstLine="560"/>
              <w:jc w:val="center"/>
              <w:rPr>
                <w:rFonts w:ascii="华文中宋" w:hAnsi="华文中宋" w:eastAsia="华文中宋"/>
                <w:color w:val="000000"/>
                <w:sz w:val="28"/>
              </w:rPr>
            </w:pPr>
          </w:p>
        </w:tc>
        <w:tc>
          <w:tcPr>
            <w:tcW w:w="1356" w:type="dxa"/>
            <w:gridSpan w:val="2"/>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84" w:type="dxa"/>
            <w:tcBorders>
              <w:bottom w:val="single" w:color="auto" w:sz="4" w:space="0"/>
            </w:tcBorders>
            <w:vAlign w:val="center"/>
          </w:tcPr>
          <w:p>
            <w:pPr>
              <w:spacing w:line="260" w:lineRule="exact"/>
              <w:jc w:val="center"/>
              <w:rPr>
                <w:rFonts w:hint="eastAsia" w:ascii="仿宋" w:hAnsi="仿宋" w:eastAsia="仿宋" w:cs="仿宋"/>
                <w:color w:val="000000"/>
                <w:sz w:val="22"/>
                <w:szCs w:val="18"/>
                <w:lang w:val="en-US" w:eastAsia="zh-CN"/>
              </w:rPr>
            </w:pPr>
            <w:r>
              <w:rPr>
                <w:rFonts w:hint="eastAsia" w:ascii="仿宋" w:hAnsi="仿宋" w:eastAsia="仿宋" w:cs="仿宋"/>
                <w:color w:val="000000"/>
                <w:sz w:val="22"/>
                <w:szCs w:val="18"/>
                <w:lang w:val="en-US"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1450" w:type="dxa"/>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2679" w:type="dxa"/>
            <w:gridSpan w:val="2"/>
            <w:vAlign w:val="center"/>
          </w:tcPr>
          <w:p>
            <w:pPr>
              <w:spacing w:line="320" w:lineRule="exact"/>
              <w:rPr>
                <w:rFonts w:hint="eastAsia" w:ascii="仿宋" w:hAnsi="仿宋" w:eastAsia="仿宋" w:cs="仿宋"/>
                <w:color w:val="000000"/>
                <w:sz w:val="24"/>
                <w:szCs w:val="24"/>
              </w:rPr>
            </w:pPr>
            <w:r>
              <w:rPr>
                <w:rFonts w:hint="eastAsia" w:ascii="仿宋" w:hAnsi="仿宋" w:eastAsia="仿宋" w:cs="仿宋"/>
                <w:color w:val="000000"/>
                <w:sz w:val="24"/>
                <w:szCs w:val="24"/>
              </w:rPr>
              <w:t>集体（王晓映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钱飞</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艾培</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王丽青）</w:t>
            </w: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4640" w:type="dxa"/>
            <w:gridSpan w:val="3"/>
            <w:vAlign w:val="center"/>
          </w:tcPr>
          <w:p>
            <w:pPr>
              <w:spacing w:line="320" w:lineRule="exact"/>
              <w:jc w:val="center"/>
              <w:rPr>
                <w:rFonts w:ascii="仿宋" w:hAnsi="仿宋" w:eastAsia="仿宋"/>
                <w:color w:val="000000"/>
                <w:w w:val="95"/>
                <w:szCs w:val="21"/>
              </w:rPr>
            </w:pPr>
            <w:r>
              <w:rPr>
                <w:rFonts w:hint="eastAsia" w:ascii="仿宋" w:hAnsi="仿宋" w:eastAsia="仿宋" w:cs="仿宋"/>
                <w:color w:val="000000"/>
                <w:sz w:val="24"/>
                <w:szCs w:val="24"/>
              </w:rPr>
              <w:t>季铖</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晏培娟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79" w:type="dxa"/>
            <w:gridSpan w:val="2"/>
            <w:vAlign w:val="center"/>
          </w:tcPr>
          <w:p>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新华日报</w:t>
            </w:r>
          </w:p>
        </w:tc>
        <w:tc>
          <w:tcPr>
            <w:tcW w:w="1678" w:type="dxa"/>
            <w:gridSpan w:val="2"/>
            <w:vAlign w:val="center"/>
          </w:tcPr>
          <w:p>
            <w:pPr>
              <w:spacing w:line="260" w:lineRule="exact"/>
              <w:rPr>
                <w:rFonts w:ascii="华文中宋" w:hAnsi="华文中宋" w:eastAsia="华文中宋"/>
                <w:color w:val="000000"/>
                <w:sz w:val="18"/>
              </w:rPr>
            </w:pPr>
            <w:r>
              <w:rPr>
                <w:rFonts w:hint="eastAsia" w:ascii="华文中宋" w:hAnsi="华文中宋" w:eastAsia="华文中宋"/>
                <w:color w:val="000000"/>
                <w:sz w:val="18"/>
              </w:rPr>
              <w:t>发布端/账号/</w:t>
            </w:r>
          </w:p>
          <w:p>
            <w:pPr>
              <w:spacing w:line="260" w:lineRule="exact"/>
              <w:rPr>
                <w:rFonts w:ascii="仿宋_GB2312" w:hAnsi="仿宋"/>
                <w:color w:val="000000"/>
                <w:sz w:val="18"/>
                <w:szCs w:val="18"/>
                <w:highlight w:val="green"/>
              </w:rPr>
            </w:pPr>
            <w:r>
              <w:rPr>
                <w:rFonts w:hint="eastAsia" w:ascii="华文中宋" w:hAnsi="华文中宋" w:eastAsia="华文中宋"/>
                <w:color w:val="000000"/>
                <w:sz w:val="18"/>
              </w:rPr>
              <w:t>媒体名称</w:t>
            </w:r>
          </w:p>
        </w:tc>
        <w:tc>
          <w:tcPr>
            <w:tcW w:w="3817" w:type="dxa"/>
            <w:gridSpan w:val="2"/>
            <w:vAlign w:val="center"/>
          </w:tcPr>
          <w:p>
            <w:pPr>
              <w:spacing w:line="260" w:lineRule="exact"/>
              <w:jc w:val="center"/>
              <w:rPr>
                <w:rFonts w:ascii="仿宋_GB2312" w:hAnsi="仿宋"/>
                <w:color w:val="000000"/>
                <w:sz w:val="18"/>
                <w:szCs w:val="18"/>
                <w:highlight w:val="green"/>
              </w:rPr>
            </w:pPr>
            <w:r>
              <w:rPr>
                <w:rFonts w:hint="eastAsia" w:ascii="仿宋" w:hAnsi="仿宋" w:eastAsia="仿宋" w:cs="仿宋"/>
                <w:color w:val="000000"/>
                <w:sz w:val="24"/>
                <w:szCs w:val="24"/>
              </w:rPr>
              <w:t>新华日报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2679" w:type="dxa"/>
            <w:gridSpan w:val="2"/>
            <w:vAlign w:val="center"/>
          </w:tcPr>
          <w:p>
            <w:pPr>
              <w:spacing w:line="320" w:lineRule="exact"/>
              <w:jc w:val="center"/>
              <w:rPr>
                <w:rFonts w:ascii="仿宋_GB2312" w:hAnsi="仿宋"/>
                <w:color w:val="000000"/>
                <w:szCs w:val="21"/>
              </w:rPr>
            </w:pPr>
            <w:r>
              <w:rPr>
                <w:rFonts w:hint="eastAsia" w:ascii="仿宋" w:hAnsi="仿宋" w:eastAsia="仿宋" w:cs="仿宋"/>
                <w:color w:val="000000"/>
                <w:sz w:val="24"/>
                <w:szCs w:val="24"/>
              </w:rPr>
              <w:t>4版</w:t>
            </w:r>
          </w:p>
        </w:tc>
        <w:tc>
          <w:tcPr>
            <w:tcW w:w="855"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4640" w:type="dxa"/>
            <w:gridSpan w:val="3"/>
            <w:vAlign w:val="center"/>
          </w:tcPr>
          <w:p>
            <w:pPr>
              <w:spacing w:line="320" w:lineRule="exact"/>
              <w:jc w:val="center"/>
              <w:rPr>
                <w:rFonts w:ascii="仿宋_GB2312" w:hAnsi="仿宋"/>
                <w:color w:val="000000"/>
                <w:szCs w:val="21"/>
              </w:rPr>
            </w:pPr>
            <w:r>
              <w:rPr>
                <w:rFonts w:hint="eastAsia" w:ascii="仿宋" w:hAnsi="仿宋" w:eastAsia="仿宋" w:cs="仿宋"/>
                <w:color w:val="000000"/>
                <w:sz w:val="24"/>
                <w:szCs w:val="24"/>
              </w:rPr>
              <w:t>2023年3月13日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3114" w:type="dxa"/>
            <w:gridSpan w:val="2"/>
            <w:vAlign w:val="center"/>
          </w:tcPr>
          <w:p>
            <w:pPr>
              <w:spacing w:line="320" w:lineRule="exact"/>
              <w:rPr>
                <w:rFonts w:ascii="仿宋_GB2312" w:hAnsi="仿宋"/>
                <w:color w:val="000000"/>
                <w:szCs w:val="21"/>
              </w:rPr>
            </w:pPr>
            <w:r>
              <w:rPr>
                <w:rFonts w:hint="eastAsia" w:ascii="华文中宋" w:hAnsi="华文中宋" w:eastAsia="华文中宋"/>
                <w:color w:val="000000"/>
                <w:sz w:val="28"/>
              </w:rPr>
              <w:t>新媒体作品填报网址</w:t>
            </w:r>
          </w:p>
        </w:tc>
        <w:tc>
          <w:tcPr>
            <w:tcW w:w="6510" w:type="dxa"/>
            <w:gridSpan w:val="5"/>
            <w:vAlign w:val="center"/>
          </w:tcPr>
          <w:p>
            <w:pPr>
              <w:spacing w:line="260" w:lineRule="exact"/>
              <w:rPr>
                <w:rFonts w:ascii="华文中宋" w:hAnsi="华文中宋" w:eastAsia="华文中宋"/>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3" w:hRule="atLeas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品编</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介程</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vAlign w:val="center"/>
          </w:tcPr>
          <w:p>
            <w:pPr>
              <w:spacing w:line="400" w:lineRule="exact"/>
              <w:ind w:firstLine="480" w:firstLineChars="200"/>
              <w:rPr>
                <w:rFonts w:ascii="仿宋" w:hAnsi="仿宋" w:eastAsia="仿宋" w:cs="仿宋"/>
                <w:color w:val="000000"/>
                <w:sz w:val="24"/>
                <w:szCs w:val="24"/>
              </w:rPr>
            </w:pPr>
            <w:r>
              <w:rPr>
                <w:rFonts w:ascii="仿宋" w:hAnsi="仿宋" w:eastAsia="仿宋" w:cs="仿宋"/>
                <w:color w:val="000000"/>
                <w:sz w:val="24"/>
                <w:szCs w:val="24"/>
              </w:rPr>
              <w:t>2023年3月5日，习近平总书记参加江苏代表团审议时，与来自镇江的全国人大代表魏巧面对面交流，称赞“像魏巧这样的同志到农村去，很好！”这一幕迅速成为热点新闻事件。高学历的魏巧为何从大城市回农村？魏巧这样的同志到农村去好在哪里？记者关注点迅速</w:t>
            </w:r>
            <w:r>
              <w:rPr>
                <w:rFonts w:hint="eastAsia" w:ascii="仿宋" w:hAnsi="仿宋" w:eastAsia="仿宋" w:cs="仿宋"/>
                <w:color w:val="000000"/>
                <w:sz w:val="24"/>
                <w:szCs w:val="24"/>
              </w:rPr>
              <w:t>跳出会场，兵分多路，有的采访身在北京的</w:t>
            </w:r>
            <w:r>
              <w:rPr>
                <w:rFonts w:ascii="仿宋" w:hAnsi="仿宋" w:eastAsia="仿宋" w:cs="仿宋"/>
                <w:color w:val="000000"/>
                <w:sz w:val="24"/>
                <w:szCs w:val="24"/>
              </w:rPr>
              <w:t>魏巧，有的去镇江实地调研，采访她的丈夫、同事，以及当地种粮大户、农业主管部门等，还原了魏巧夫妇回乡种地并非偶然</w:t>
            </w:r>
            <w:r>
              <w:rPr>
                <w:rFonts w:hint="eastAsia" w:ascii="仿宋" w:hAnsi="仿宋" w:eastAsia="仿宋" w:cs="仿宋"/>
                <w:color w:val="000000"/>
                <w:sz w:val="24"/>
                <w:szCs w:val="24"/>
              </w:rPr>
              <w:t>——</w:t>
            </w:r>
            <w:r>
              <w:rPr>
                <w:rFonts w:ascii="仿宋" w:hAnsi="仿宋" w:eastAsia="仿宋" w:cs="仿宋"/>
                <w:color w:val="000000"/>
                <w:sz w:val="24"/>
                <w:szCs w:val="24"/>
              </w:rPr>
              <w:t>知识分子回报土地的情怀、现代农业生产方式的变革、时代对知识型农人的渴求与呼唤，缺一不可</w:t>
            </w:r>
            <w:r>
              <w:rPr>
                <w:rFonts w:hint="eastAsia" w:ascii="仿宋" w:hAnsi="仿宋" w:eastAsia="仿宋" w:cs="仿宋"/>
                <w:color w:val="000000"/>
                <w:sz w:val="24"/>
                <w:szCs w:val="24"/>
              </w:rPr>
              <w:t>。</w:t>
            </w:r>
            <w:r>
              <w:rPr>
                <w:rFonts w:ascii="仿宋" w:hAnsi="仿宋" w:eastAsia="仿宋" w:cs="仿宋"/>
                <w:color w:val="000000"/>
                <w:sz w:val="24"/>
                <w:szCs w:val="24"/>
              </w:rPr>
              <w:t>深度通讯成稿后又配发题为《让更多“新农人”与土地双向奔赴》</w:t>
            </w:r>
            <w:r>
              <w:rPr>
                <w:rFonts w:hint="eastAsia" w:ascii="仿宋" w:hAnsi="仿宋" w:eastAsia="仿宋" w:cs="仿宋"/>
                <w:color w:val="000000"/>
                <w:sz w:val="24"/>
                <w:szCs w:val="24"/>
              </w:rPr>
              <w:t>的评论，进一步深化新闻主题。</w:t>
            </w:r>
          </w:p>
          <w:p>
            <w:pPr>
              <w:spacing w:line="400" w:lineRule="exact"/>
              <w:ind w:firstLine="480" w:firstLineChars="200"/>
              <w:rPr>
                <w:rFonts w:ascii="仿宋" w:hAnsi="仿宋" w:eastAsia="仿宋"/>
                <w:color w:val="000000"/>
                <w:w w:val="95"/>
                <w:szCs w:val="21"/>
              </w:rPr>
            </w:pPr>
            <w:r>
              <w:rPr>
                <w:rFonts w:hint="eastAsia" w:ascii="仿宋" w:hAnsi="仿宋" w:eastAsia="仿宋" w:cs="仿宋"/>
                <w:color w:val="000000"/>
                <w:sz w:val="24"/>
                <w:szCs w:val="24"/>
              </w:rPr>
              <w:t>作品主题重大，典型意义鲜明，新闻性也很强，同时采写深入，揭示了新闻人物的深层动机，阐释了事件背后的规律、现象，透视出时代新趋势。尤其是从魏巧这一极具代表性的典型个体出发，用新农人群像生动描绘了“魏巧”们离乡返乡的轨迹，鲜明展示了总书记所说的“双向流动”，折射了中国乡村振兴的最新面貌，使个体人物成为时代肖像的缩影，也为总书记的话提供了深度、鲜活的注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8" w:hRule="exac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174" w:type="dxa"/>
            <w:gridSpan w:val="6"/>
            <w:vAlign w:val="center"/>
          </w:tcPr>
          <w:p>
            <w:pPr>
              <w:spacing w:line="400" w:lineRule="exact"/>
              <w:ind w:firstLine="480" w:firstLineChars="200"/>
              <w:rPr>
                <w:rFonts w:ascii="仿宋" w:hAnsi="仿宋" w:eastAsia="仿宋"/>
                <w:color w:val="000000"/>
                <w:szCs w:val="21"/>
              </w:rPr>
            </w:pPr>
            <w:r>
              <w:rPr>
                <w:rFonts w:hint="eastAsia" w:ascii="仿宋" w:hAnsi="仿宋" w:eastAsia="仿宋" w:cs="仿宋"/>
                <w:color w:val="000000"/>
                <w:sz w:val="24"/>
                <w:szCs w:val="24"/>
              </w:rPr>
              <w:t>此稿为习近平总书记点赞魏巧回农村事件后全国媒体中首篇深度报道，刊发后引发强烈社会效应，全网大量转载转发。全社会对加快培育新时代新农人队伍的关注和重视，也由此新闻事件开始提升到了一个新高度。江苏省于当年出台意见，推进新农人队伍发展壮大。</w:t>
            </w:r>
            <w:r>
              <w:rPr>
                <w:rFonts w:ascii="仿宋" w:hAnsi="仿宋" w:eastAsia="仿宋" w:cs="仿宋"/>
                <w:color w:val="000000"/>
                <w:sz w:val="24"/>
                <w:szCs w:val="24"/>
              </w:rPr>
              <w:t>魏巧陆续荣获“全国农业农村劳动模范”“2023年度十大巾帼新农人”“江苏省三八红旗手”等一系列荣誉称号，成为新时代新农人队伍中最耀眼的代表之一，围绕她进行的深度报道，典型意义进一步凸显，有利于</w:t>
            </w:r>
            <w:r>
              <w:rPr>
                <w:rFonts w:hint="eastAsia" w:ascii="仿宋" w:hAnsi="仿宋" w:eastAsia="仿宋" w:cs="仿宋"/>
                <w:color w:val="000000"/>
                <w:sz w:val="24"/>
                <w:szCs w:val="24"/>
              </w:rPr>
              <w:t>全社会了解、走近、关注这一群体，引导有志者加入这一群体，吸引更多力量注入到乡村振兴之中。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9" w:hRule="exact"/>
        </w:trPr>
        <w:tc>
          <w:tcPr>
            <w:tcW w:w="1450" w:type="dxa"/>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tcBorders>
              <w:bottom w:val="single" w:color="auto" w:sz="4" w:space="0"/>
            </w:tcBorders>
            <w:vAlign w:val="center"/>
          </w:tcPr>
          <w:p>
            <w:pPr>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这是一篇优秀的典型报道，突出表现为“四个强”：一是典型性示范性强，魏巧在与习近平总书记对话后迅速“出圈”，且本身特点鲜明、成绩斐然，是新农人群体最典型、最亮眼的代表之一；二是时效性强，在总书记与魏巧交流后仅仅几天内，记者就跳出会场，深入广泛调研采访，呈现出这样一篇深度调查报道，功底深厚；三是新闻性强，总书记与魏巧的对话让返乡新农人成为</w:t>
            </w:r>
            <w:r>
              <w:rPr>
                <w:rFonts w:ascii="仿宋" w:hAnsi="仿宋" w:eastAsia="仿宋" w:cs="仿宋"/>
                <w:color w:val="000000"/>
                <w:sz w:val="24"/>
                <w:szCs w:val="24"/>
              </w:rPr>
              <w:t>2023年全国两会期间最热的话题之一，记者围绕热点广泛采访</w:t>
            </w:r>
            <w:r>
              <w:rPr>
                <w:rFonts w:hint="eastAsia" w:ascii="仿宋" w:hAnsi="仿宋" w:eastAsia="仿宋" w:cs="仿宋"/>
                <w:color w:val="000000"/>
                <w:sz w:val="24"/>
                <w:szCs w:val="24"/>
              </w:rPr>
              <w:t>、</w:t>
            </w:r>
            <w:r>
              <w:rPr>
                <w:rFonts w:ascii="仿宋" w:hAnsi="仿宋" w:eastAsia="仿宋" w:cs="仿宋"/>
                <w:color w:val="000000"/>
                <w:sz w:val="24"/>
                <w:szCs w:val="24"/>
              </w:rPr>
              <w:t>深入挖掘，精准回答了新农人为何返乡、如何创业、怎样自我实现、如何示范带动等一</w:t>
            </w:r>
            <w:r>
              <w:rPr>
                <w:rFonts w:hint="eastAsia" w:ascii="仿宋" w:hAnsi="仿宋" w:eastAsia="仿宋" w:cs="仿宋"/>
                <w:color w:val="000000"/>
                <w:sz w:val="24"/>
                <w:szCs w:val="24"/>
              </w:rPr>
              <w:t>系列问题，稿件信息量充足、观点鲜明，配发的评论将新闻主题进一步升华；四是可读性强，稿件从魏巧身上起笔，用大量第一手的话语、场景、事件等为返乡新农人这一群体精准画像，语言鲜活，行文流畅，一气呵成</w:t>
            </w:r>
            <w:r>
              <w:rPr>
                <w:rFonts w:ascii="仿宋" w:hAnsi="仿宋" w:eastAsia="仿宋" w:cs="仿宋"/>
                <w:color w:val="000000"/>
                <w:sz w:val="24"/>
                <w:szCs w:val="24"/>
              </w:rPr>
              <w:t>，产生了很好的传播效果</w:t>
            </w:r>
            <w:r>
              <w:rPr>
                <w:rFonts w:hint="eastAsia" w:ascii="仿宋" w:hAnsi="仿宋" w:eastAsia="仿宋" w:cs="仿宋"/>
                <w:color w:val="000000"/>
                <w:sz w:val="24"/>
                <w:szCs w:val="24"/>
              </w:rPr>
              <w:t>。</w:t>
            </w:r>
          </w:p>
          <w:p>
            <w:pPr>
              <w:spacing w:line="400" w:lineRule="exact"/>
              <w:ind w:firstLine="560" w:firstLineChars="200"/>
              <w:rPr>
                <w:rFonts w:ascii="仿宋" w:hAnsi="仿宋" w:eastAsia="仿宋" w:cs="仿宋"/>
                <w:color w:val="000000"/>
                <w:sz w:val="28"/>
                <w:szCs w:val="28"/>
              </w:rPr>
            </w:pPr>
          </w:p>
          <w:p>
            <w:pPr>
              <w:spacing w:line="240" w:lineRule="exact"/>
              <w:rPr>
                <w:rFonts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pPr>
              <w:spacing w:line="360" w:lineRule="exact"/>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p>
          <w:p>
            <w:pPr>
              <w:rPr>
                <w:rFonts w:ascii="仿宋" w:hAnsi="仿宋" w:eastAsia="仿宋"/>
                <w:color w:val="000000"/>
                <w:szCs w:val="21"/>
              </w:rPr>
            </w:pPr>
            <w:r>
              <w:rPr>
                <w:rFonts w:hint="eastAsia" w:ascii="仿宋_GB2312"/>
                <w:color w:val="000000"/>
                <w:sz w:val="28"/>
              </w:rPr>
              <w:t xml:space="preserve">                                 </w:t>
            </w:r>
            <w:r>
              <w:rPr>
                <w:rFonts w:ascii="华文中宋" w:hAnsi="华文中宋" w:eastAsia="华文中宋"/>
                <w:color w:val="000000"/>
                <w:sz w:val="28"/>
              </w:rPr>
              <w:t>20</w:t>
            </w:r>
            <w:r>
              <w:rPr>
                <w:rFonts w:hint="eastAsia" w:ascii="华文中宋" w:hAnsi="华文中宋" w:eastAsia="华文中宋"/>
                <w:color w:val="000000"/>
                <w:sz w:val="28"/>
              </w:rPr>
              <w:t>2</w:t>
            </w:r>
            <w:r>
              <w:rPr>
                <w:rFonts w:ascii="华文中宋" w:hAnsi="华文中宋" w:eastAsia="华文中宋"/>
                <w:color w:val="000000"/>
                <w:sz w:val="28"/>
              </w:rPr>
              <w:t xml:space="preserve">4年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pPr>
        <w:spacing w:after="156" w:afterLines="50" w:line="600" w:lineRule="exact"/>
      </w:pPr>
    </w:p>
    <w:sectPr>
      <w:headerReference r:id="rId3" w:type="default"/>
      <w:headerReference r:id="rId4" w:type="even"/>
      <w:pgSz w:w="11906" w:h="16838"/>
      <w:pgMar w:top="1440" w:right="1247" w:bottom="1440" w:left="1247" w:header="851" w:footer="1418"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ind w:firstLine="602"/>
      <w:rPr>
        <w:rFonts w:ascii="楷体" w:hAnsi="楷体" w:eastAsia="楷体"/>
        <w:b/>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ind w:firstLine="602"/>
      <w:rPr>
        <w:rFonts w:ascii="楷体" w:hAnsi="楷体" w:eastAsia="楷体"/>
        <w:b/>
        <w:sz w:val="30"/>
        <w:szCs w:val="30"/>
      </w:rPr>
    </w:pPr>
    <w:r>
      <w:rPr>
        <w:rFonts w:hint="eastAsia" w:ascii="楷体" w:hAnsi="楷体" w:eastAsia="楷体"/>
        <w:b/>
        <w:sz w:val="30"/>
        <w:szCs w:val="30"/>
      </w:rPr>
      <w:t>附件1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djMzBhODBiMzJjY2ZjZjk2ZGQ5YmQ3OTc2ZDU1ZjIifQ=="/>
  </w:docVars>
  <w:rsids>
    <w:rsidRoot w:val="00E1026E"/>
    <w:rsid w:val="00040135"/>
    <w:rsid w:val="00062988"/>
    <w:rsid w:val="000C72A1"/>
    <w:rsid w:val="00160333"/>
    <w:rsid w:val="001D6F64"/>
    <w:rsid w:val="00266E85"/>
    <w:rsid w:val="00277D99"/>
    <w:rsid w:val="002C6202"/>
    <w:rsid w:val="00302129"/>
    <w:rsid w:val="00343292"/>
    <w:rsid w:val="00380C45"/>
    <w:rsid w:val="0041305C"/>
    <w:rsid w:val="00463204"/>
    <w:rsid w:val="00492179"/>
    <w:rsid w:val="004936AF"/>
    <w:rsid w:val="00500345"/>
    <w:rsid w:val="00525D7B"/>
    <w:rsid w:val="0053312F"/>
    <w:rsid w:val="00592D8A"/>
    <w:rsid w:val="005F16C5"/>
    <w:rsid w:val="00660291"/>
    <w:rsid w:val="007001EC"/>
    <w:rsid w:val="007439E6"/>
    <w:rsid w:val="008A3E97"/>
    <w:rsid w:val="008A78F9"/>
    <w:rsid w:val="00A056D9"/>
    <w:rsid w:val="00A20955"/>
    <w:rsid w:val="00B1107E"/>
    <w:rsid w:val="00B414C5"/>
    <w:rsid w:val="00BB6102"/>
    <w:rsid w:val="00C17E78"/>
    <w:rsid w:val="00D22795"/>
    <w:rsid w:val="00E1026E"/>
    <w:rsid w:val="00E4593F"/>
    <w:rsid w:val="00E52A87"/>
    <w:rsid w:val="00E80929"/>
    <w:rsid w:val="00EE490F"/>
    <w:rsid w:val="00F0569A"/>
    <w:rsid w:val="00F515B0"/>
    <w:rsid w:val="00F81A7B"/>
    <w:rsid w:val="00F82D01"/>
    <w:rsid w:val="00FA4896"/>
    <w:rsid w:val="10850808"/>
    <w:rsid w:val="19670198"/>
    <w:rsid w:val="6B28537C"/>
    <w:rsid w:val="6F702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3"/>
    <w:basedOn w:val="1"/>
    <w:link w:val="8"/>
    <w:autoRedefine/>
    <w:unhideWhenUsed/>
    <w:qFormat/>
    <w:uiPriority w:val="99"/>
    <w:pPr>
      <w:spacing w:after="120"/>
    </w:pPr>
    <w:rPr>
      <w:sz w:val="16"/>
      <w:szCs w:val="16"/>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autoRedefine/>
    <w:qFormat/>
    <w:uiPriority w:val="0"/>
  </w:style>
  <w:style w:type="character" w:customStyle="1" w:styleId="8">
    <w:name w:val="正文文本 3 Char"/>
    <w:basedOn w:val="6"/>
    <w:link w:val="2"/>
    <w:autoRedefine/>
    <w:qFormat/>
    <w:uiPriority w:val="99"/>
    <w:rPr>
      <w:rFonts w:eastAsia="仿宋_GB2312"/>
      <w:sz w:val="16"/>
      <w:szCs w:val="16"/>
    </w:rPr>
  </w:style>
  <w:style w:type="character" w:customStyle="1" w:styleId="9">
    <w:name w:val="页脚 Char"/>
    <w:basedOn w:val="6"/>
    <w:link w:val="3"/>
    <w:autoRedefine/>
    <w:qFormat/>
    <w:uiPriority w:val="99"/>
    <w:rPr>
      <w:rFonts w:eastAsia="仿宋_GB2312"/>
      <w:sz w:val="18"/>
      <w:szCs w:val="18"/>
    </w:rPr>
  </w:style>
  <w:style w:type="character" w:customStyle="1" w:styleId="10">
    <w:name w:val="页眉 Char"/>
    <w:basedOn w:val="6"/>
    <w:link w:val="4"/>
    <w:qFormat/>
    <w:uiPriority w:val="99"/>
    <w:rPr>
      <w:rFonts w:eastAsia="仿宋_GB231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210</Words>
  <Characters>1201</Characters>
  <Lines>10</Lines>
  <Paragraphs>2</Paragraphs>
  <TotalTime>0</TotalTime>
  <ScaleCrop>false</ScaleCrop>
  <LinksUpToDate>false</LinksUpToDate>
  <CharactersWithSpaces>1409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2024-04-25T08:10:00Z</dcterms:created>
  <dc:creator>acer</dc:creator>
  <cp:lastModifiedBy>静静</cp:lastModifiedBy>
  <cp:lastPrinted>2024-05-10T07:59:00Z</cp:lastPrinted>
  <dcterms:modified xsi:type="dcterms:W3CDTF">2024-05-11T03:41:44Z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316C385ED0064477BD39E886CEDE437D_12</vt:lpwstr>
  </property>
</Properties>
</file>